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活动计划表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使用说明：活动计划表可以帮助你把积极活动安排到每天的生活里。每天做一些新鲜的、有意义的事情，会让生活变得更充实。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5CB85C"/>
            <w:tcBorders>
              <w:top w:sz="12" w:val="single" w:color="5CB85C"/>
              <w:left w:sz="12" w:val="single" w:color="5CB85C"/>
              <w:bottom w:sz="12" w:val="single" w:color="5CB85C"/>
              <w:right w:sz="12" w:val="single" w:color="5CB85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日期</w:t>
            </w:r>
          </w:p>
        </w:tc>
        <w:tc>
          <w:tcPr>
            <w:tcW w:type="dxa" w:w="3969"/>
            <w:shd w:fill="5CB85C"/>
            <w:tcBorders>
              <w:top w:sz="12" w:val="single" w:color="5CB85C"/>
              <w:left w:sz="12" w:val="single" w:color="5CB85C"/>
              <w:bottom w:sz="12" w:val="single" w:color="5CB85C"/>
              <w:right w:sz="12" w:val="single" w:color="5CB85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计划活动</w:t>
            </w:r>
          </w:p>
        </w:tc>
        <w:tc>
          <w:tcPr>
            <w:tcW w:type="dxa" w:w="1701"/>
            <w:shd w:fill="5CB85C"/>
            <w:tcBorders>
              <w:top w:sz="12" w:val="single" w:color="5CB85C"/>
              <w:left w:sz="12" w:val="single" w:color="5CB85C"/>
              <w:bottom w:sz="12" w:val="single" w:color="5CB85C"/>
              <w:right w:sz="12" w:val="single" w:color="5CB85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预测愉悦度(0-10)</w:t>
            </w:r>
          </w:p>
        </w:tc>
        <w:tc>
          <w:tcPr>
            <w:tcW w:type="dxa" w:w="1701"/>
            <w:shd w:fill="5CB85C"/>
            <w:tcBorders>
              <w:top w:sz="12" w:val="single" w:color="5CB85C"/>
              <w:left w:sz="12" w:val="single" w:color="5CB85C"/>
              <w:bottom w:sz="12" w:val="single" w:color="5CB85C"/>
              <w:right w:sz="12" w:val="single" w:color="5CB85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实际愉悦度(0-10)</w:t>
            </w: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周一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周二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周三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周四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周五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周六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  <w:tr>
        <w:trPr>
          <w:trHeight w:val="567"/>
        </w:trPr>
        <w:tc>
          <w:tcPr>
            <w:tcW w:type="dxa" w:w="1417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sz w:val="20"/>
              </w:rPr>
              <w:t>周日</w:t>
            </w:r>
          </w:p>
        </w:tc>
        <w:tc>
          <w:tcPr>
            <w:tcW w:type="dxa" w:w="3969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  <w:tc>
          <w:tcPr>
            <w:tcW w:type="dxa" w:w="1701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示例填写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日期</w:t>
            </w:r>
          </w:p>
        </w:tc>
        <w:tc>
          <w:tcPr>
            <w:tcW w:type="dxa" w:w="3969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计划活动</w:t>
            </w:r>
          </w:p>
        </w:tc>
        <w:tc>
          <w:tcPr>
            <w:tcW w:type="dxa" w:w="1701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预测</w:t>
            </w:r>
          </w:p>
        </w:tc>
        <w:tc>
          <w:tcPr>
            <w:tcW w:type="dxa" w:w="1701"/>
            <w:shd w:fill="5CB85C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实际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周一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下班后散步30分钟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4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6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周二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和朋友视频聊天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5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7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周三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整理书桌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3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5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周四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尝试新菜谱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4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3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周五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看一部电影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5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6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周六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去公园野餐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6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8</w:t>
            </w:r>
          </w:p>
        </w:tc>
      </w:tr>
      <w:tr>
        <w:tc>
          <w:tcPr>
            <w:tcW w:type="dxa" w:w="1417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周日</w:t>
            </w:r>
          </w:p>
        </w:tc>
        <w:tc>
          <w:tcPr>
            <w:tcW w:type="dxa" w:w="3969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阅读一小时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4</w:t>
            </w:r>
          </w:p>
        </w:tc>
        <w:tc>
          <w:tcPr>
            <w:tcW w:type="dxa" w:w="1701"/>
            <w:shd w:fill="FFF9E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7</w:t>
            </w:r>
          </w:p>
        </w:tc>
      </w:tr>
    </w:tbl>
    <w:p/>
    <w:p>
      <w:r>
        <w:rPr>
          <w:rFonts w:ascii="Microsoft YaHei" w:hAnsi="Microsoft YaHei" w:eastAsia="Microsoft YaHei"/>
          <w:i/>
          <w:color w:val="646464"/>
          <w:sz w:val="20"/>
        </w:rPr>
        <w:t>观察：在这个例子中，大多数活动的实际愉悦度高于预测。这打破了"做什么都没用"的信念。只有一个活动（周四尝试新菜谱）实际低于预期，这可能需要进一步分析原因。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使用活动计划表的技巧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技巧一：从小事开始 - 不要一开始就安排太难或太耗时的活动。从简单、容易完成的活动开始，建立信心。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技巧二：平衡愉悦感和成就感 - 既要有让你放松享受的活动，也要有让你感到掌控和进步的活动。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技巧三：给自己奖励 - 每当自己完成一次计划时，可以给自己一些鼓励：口头表扬自己、记录成功体验、小小奖励。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技巧四：允许灵活性 - 如果某天状态不好无法完成计划，不要自责。可以调整活动的难度或时长，或换成更简单的活动。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