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>替代思维工作表</w:t>
      </w:r>
    </w:p>
    <w:p>
      <w:pPr/>
      <w:r>
        <w:rPr>
          <w:rFonts w:ascii="Arial" w:hAnsi="Arial" w:cs="Arial"/>
          <w:sz w:val="24"/>
          <w:sz-cs w:val="24"/>
          <w:spacing w:val="0"/>
          <w:color w:val="FFFFFF"/>
        </w:rPr>
        <w:t xml:space="preserve">抑郁症应对课程 · 认知重构工具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📋 使用说明：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这个工作表帮助你把消极的自动思维转化为更平衡、更现实的替代思维。记住：替代思维不是"盲目乐观"，而是更客观、更全面的思考方式。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第一部分：识别与记录消极思维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日期/情境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自动思维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情绪（1-10）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第二部分：替代思维转换练习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消极自动思维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替代思维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认知扭曲类型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"我什么都做不好"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"这件事我没做好，但不代表所有事我都做不好"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全或无思维、过度概括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"没人喜欢我"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"有些人可能不太了解我，了解我的人喜欢我"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过度概括、心理过滤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"我永远都好不起来了"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"我现在很难，但情况可以改变，我已经有过改善的体验"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灾难化、情绪推理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第三部分：每日练习记录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日期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消极思维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替代思维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情绪变化（前→后）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第四部分：替代思维生成技巧</w:t>
      </w:r>
    </w:p>
    <w:p>
      <w:pPr>
        <w:spacing w:after="319"/>
      </w:pP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💡 问自己这些问题来生成替代思维：</w:t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有什么证据支持这个想法？有什么证据反驳？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如果朋友有同样的想法，我会对他说什么？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一年后，我会怎么看这件事？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最坏的结果是什么？真的会发生吗？即使发生，我能应对吗？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有没有其他的解释方式？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💪 记住：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替代思维需要练习。一开始可能会觉得不自然或"假"，但随着练习，你会发展出更平衡的思维方式。目标是更客观地看待自己和生活，而不是盲目乐观。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来源：抑郁症应对专项课程 · 替代思维工作表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制作：暖暖心理工作室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