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Arial" w:hAnsi="Arial" w:cs="Arial"/>
          <w:sz w:val="48"/>
          <w:sz-cs w:val="48"/>
          <w:b/>
          <w:spacing w:val="0"/>
          <w:color w:val="212F3F"/>
        </w:rPr>
        <w:t xml:space="preserve">焦虑层级表</w:t>
      </w:r>
    </w:p>
    <w:p>
      <w:pPr>
        <w:spacing w:after="600"/>
      </w:pPr>
      <w:r>
        <w:rPr>
          <w:rFonts w:ascii="Arial" w:hAnsi="Arial" w:cs="Arial"/>
          <w:sz w:val="28"/>
          <w:sz-cs w:val="28"/>
          <w:spacing w:val="0"/>
          <w:color w:val="535353"/>
        </w:rPr>
        <w:t xml:space="preserve">暴露练习工具 · 焦虑应对课程第四周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将让你感到焦虑的情境按焦虑程度（SUDs 0-100）从低到高排列。0代表完全平静，100代表极度恐慌。从低焦虑情境开始练习，循序渐进。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焦虑等级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FFFFFF"/>
        </w:rPr>
        <w:t xml:space="preserve">情境描述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10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（请填写你的低焦虑情境）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20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30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40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50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60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70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80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90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（请填写你的情境）</w:t>
      </w:r>
    </w:p>
    <w:p>
      <w:pPr/>
      <w:r>
        <w:rPr>
          <w:rFonts w:ascii="Arial" w:hAnsi="Arial" w:cs="Arial"/>
          <w:sz w:val="30"/>
          <w:sz-cs w:val="30"/>
          <w:b/>
          <w:spacing w:val="0"/>
          <w:color w:val="262626"/>
        </w:rPr>
        <w:t xml:space="preserve">100</w:t>
      </w:r>
      <w:r>
        <w:rPr>
          <w:rFonts w:ascii="Arial" w:hAnsi="Arial" w:cs="Arial"/>
          <w:sz w:val="30"/>
          <w:sz-cs w:val="30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30"/>
          <w:sz-cs w:val="30"/>
          <w:spacing w:val="0"/>
          <w:color w:val="262626"/>
        </w:rPr>
        <w:t xml:space="preserve">（请填写你的最高焦虑情境）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建立层级表的注意事项：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用自己的标准：每个人的焦虑程度不同，不要和别人比较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关注主观感受：焦虑程度是你自己感受的，不是客观的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细分情境：尽量具体描述每个情境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包含中间等级：确保有足够的中等难度情境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焦虑层级表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