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暴露练习计划表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暴露练习工具 · 焦虑应对课程第四周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根据你的焦虑层级表，制定循序渐进的暴露练习计划。从低难度情境开始，连续成功2-3次后再进入下一个难度等级。每周至少进行2-3次暴露练习。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周次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目标情境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焦虑程度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频率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完成情况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第1周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第2周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第3周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第4周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第5周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第6周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（请填写情境）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（0-100）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每天/每周X次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☐ 完成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暴露练习原则：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从简单开始：选择焦虑程度30-50的情境开始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循序渐进：在低难度情境上连续成功2-3次后，再进入下一个难度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保持规律：每周至少2-3次，间隔太久学习效果会消退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设定现实目标：不是"不再焦虑"，而是"焦虑程度降低"或"能够完成暴露"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暴露练习计划表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