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时间管理矩阵表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压力管理课程 · 行为策略工具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这个矩阵根据任务的紧急性和重要性将工作分为四个象限。帮助你区分真正重要的事和紧急的事，优先处理那些能带来长期价值的事情。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时间管理矩阵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紧急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不紧急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重要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Q1：紧急且重要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spacing w:val="0"/>
          <w:color w:val="FFFFFF"/>
        </w:rPr>
        <w:t xml:space="preserve">立即处理！</w:t>
      </w: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任务：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Q2：重要但不紧急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spacing w:val="0"/>
          <w:color w:val="FFFFFF"/>
        </w:rPr>
        <w:t xml:space="preserve">计划安排！</w:t>
      </w: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任务：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不重要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Q3：紧急但不重要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spacing w:val="0"/>
          <w:color w:val="FFFFFF"/>
        </w:rPr>
        <w:t xml:space="preserve">尽量委托！</w:t>
      </w: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任务：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Q4：既不紧急也不重要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spacing w:val="0"/>
          <w:color w:val="FFFFFF"/>
        </w:rPr>
        <w:t xml:space="preserve">减少或删除！</w:t>
      </w: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任务：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四象限说明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象限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处理策略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典型任务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Q1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立即亲自处理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危机、截止日期、项目冲刺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Q2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计划安排，提前处理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规划、学习、建立关系、休息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Q3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尽量委托或快速处理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某些会议、某些邮件、他人紧急请求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Q4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减少或删除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无目的刷手机、无意义社交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每日任务分类练习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任务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Q1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Q2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Q3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Q4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>
        <w:jc w:val="center"/>
      </w:pPr>
      <w:r>
        <w:rPr>
          <w:rFonts w:ascii="Arial" w:hAnsi="Arial" w:cs="Arial"/>
          <w:sz w:val="28"/>
          <w:sz-cs w:val="28"/>
          <w:spacing w:val="0"/>
          <w:color w:val="262626"/>
        </w:rPr>
        <w:t xml:space="preserve">☐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关键洞察：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真正的成功者把大部分时间花在Q2（重要但不紧急的事）上。这包括规划、学习、建立关系、自我照顾等。这些活动虽然不紧急，但对长期发展至关重要。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来源：压力管理专项课程 · 时间管理矩阵表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